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w:t>
      </w:r>
      <w:r>
        <w:rPr>
          <w:rFonts w:hint="default" w:ascii="宋体" w:hAnsi="宋体" w:cs="宋体"/>
          <w:sz w:val="24"/>
          <w:szCs w:val="24"/>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12</w:t>
      </w:r>
      <w:r>
        <w:rPr>
          <w:rFonts w:hint="eastAsia" w:ascii="宋体" w:hAnsi="宋体" w:eastAsia="宋体" w:cs="宋体"/>
          <w:sz w:val="24"/>
          <w:szCs w:val="24"/>
        </w:rPr>
        <w:t>月</w:t>
      </w:r>
      <w:r>
        <w:rPr>
          <w:rFonts w:hint="eastAsia" w:ascii="宋体" w:hAnsi="宋体" w:eastAsia="宋体" w:cs="宋体"/>
          <w:sz w:val="24"/>
          <w:szCs w:val="24"/>
          <w:lang w:val="en-US" w:eastAsia="zh-CN"/>
        </w:rPr>
        <w:t>11</w:t>
      </w:r>
      <w:r>
        <w:rPr>
          <w:rFonts w:hint="eastAsia" w:ascii="宋体" w:hAnsi="宋体" w:eastAsia="宋体" w:cs="宋体"/>
          <w:sz w:val="24"/>
          <w:szCs w:val="24"/>
        </w:rPr>
        <w:t>日，</w:t>
      </w:r>
      <w:r>
        <w:rPr>
          <w:rFonts w:hint="eastAsia" w:ascii="宋体" w:hAnsi="宋体" w:eastAsia="宋体" w:cs="宋体"/>
          <w:sz w:val="24"/>
          <w:szCs w:val="24"/>
          <w:lang w:val="en-US" w:eastAsia="zh-Hans"/>
        </w:rPr>
        <w:t>余姚市</w:t>
      </w:r>
      <w:r>
        <w:rPr>
          <w:rFonts w:hint="eastAsia" w:ascii="宋体" w:hAnsi="宋体" w:eastAsia="宋体" w:cs="宋体"/>
          <w:sz w:val="24"/>
          <w:szCs w:val="24"/>
        </w:rPr>
        <w:t>人民法院作出（202</w:t>
      </w:r>
      <w:r>
        <w:rPr>
          <w:rFonts w:hint="default" w:ascii="宋体" w:hAnsi="宋体" w:cs="宋体"/>
          <w:sz w:val="24"/>
          <w:szCs w:val="24"/>
        </w:rPr>
        <w:t>3</w:t>
      </w:r>
      <w:r>
        <w:rPr>
          <w:rFonts w:hint="eastAsia" w:ascii="宋体" w:hAnsi="宋体" w:eastAsia="宋体" w:cs="宋体"/>
          <w:sz w:val="24"/>
          <w:szCs w:val="24"/>
        </w:rPr>
        <w:t>）浙02</w:t>
      </w:r>
      <w:r>
        <w:rPr>
          <w:rFonts w:hint="default" w:ascii="宋体" w:hAnsi="宋体" w:cs="宋体"/>
          <w:sz w:val="24"/>
          <w:szCs w:val="24"/>
        </w:rPr>
        <w:t>81</w:t>
      </w:r>
      <w:r>
        <w:rPr>
          <w:rFonts w:hint="eastAsia" w:ascii="宋体" w:hAnsi="宋体" w:eastAsia="宋体" w:cs="宋体"/>
          <w:sz w:val="24"/>
          <w:szCs w:val="24"/>
        </w:rPr>
        <w:t>破申</w:t>
      </w:r>
      <w:r>
        <w:rPr>
          <w:rFonts w:hint="eastAsia" w:ascii="宋体" w:hAnsi="宋体" w:eastAsia="宋体" w:cs="宋体"/>
          <w:sz w:val="24"/>
          <w:szCs w:val="24"/>
          <w:lang w:val="en-US" w:eastAsia="zh-CN"/>
        </w:rPr>
        <w:t>43</w:t>
      </w:r>
      <w:r>
        <w:rPr>
          <w:rFonts w:hint="eastAsia" w:ascii="宋体" w:hAnsi="宋体" w:eastAsia="宋体" w:cs="宋体"/>
          <w:sz w:val="24"/>
          <w:szCs w:val="24"/>
        </w:rPr>
        <w:t>号《民事裁定书》，裁定受理</w:t>
      </w:r>
      <w:r>
        <w:rPr>
          <w:rFonts w:hint="eastAsia" w:ascii="宋体" w:hAnsi="宋体" w:eastAsia="宋体" w:cs="宋体"/>
          <w:sz w:val="24"/>
          <w:szCs w:val="24"/>
          <w:lang w:eastAsia="zh-CN"/>
        </w:rPr>
        <w:t>余姚市精诚高新技术有限公司</w:t>
      </w:r>
      <w:r>
        <w:rPr>
          <w:rFonts w:hint="eastAsia" w:ascii="宋体" w:hAnsi="宋体" w:eastAsia="宋体" w:cs="宋体"/>
          <w:sz w:val="24"/>
          <w:szCs w:val="24"/>
        </w:rPr>
        <w:t>破产清算一案，并于</w:t>
      </w:r>
      <w:r>
        <w:rPr>
          <w:rFonts w:hint="eastAsia" w:ascii="宋体" w:hAnsi="宋体" w:eastAsia="宋体" w:cs="宋体"/>
          <w:sz w:val="24"/>
          <w:szCs w:val="24"/>
          <w:lang w:val="en-US" w:eastAsia="zh-Hans"/>
        </w:rPr>
        <w:t>同日</w:t>
      </w:r>
      <w:r>
        <w:rPr>
          <w:rFonts w:hint="eastAsia" w:ascii="宋体" w:hAnsi="宋体" w:eastAsia="宋体" w:cs="宋体"/>
          <w:sz w:val="24"/>
          <w:szCs w:val="24"/>
        </w:rPr>
        <w:t>指定浙江太安律师事务所为</w:t>
      </w:r>
      <w:r>
        <w:rPr>
          <w:rFonts w:hint="eastAsia" w:ascii="宋体" w:hAnsi="宋体" w:eastAsia="宋体" w:cs="宋体"/>
          <w:sz w:val="24"/>
          <w:szCs w:val="24"/>
          <w:lang w:eastAsia="zh-CN"/>
        </w:rPr>
        <w:t>余姚市精诚高新技术有限公司</w:t>
      </w:r>
      <w:r>
        <w:rPr>
          <w:rFonts w:hint="eastAsia" w:ascii="宋体" w:hAnsi="宋体" w:eastAsia="宋体" w:cs="宋体"/>
          <w:sz w:val="24"/>
          <w:szCs w:val="24"/>
        </w:rPr>
        <w:t>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w:t>
      </w:r>
      <w:r>
        <w:rPr>
          <w:rFonts w:hint="eastAsia" w:ascii="宋体" w:hAnsi="宋体" w:eastAsia="宋体" w:cs="宋体"/>
          <w:color w:val="000000" w:themeColor="text1"/>
          <w:sz w:val="24"/>
          <w:szCs w:val="24"/>
          <w:highlight w:val="none"/>
          <w14:textFill>
            <w14:solidFill>
              <w14:schemeClr w14:val="tx1"/>
            </w14:solidFill>
          </w14:textFill>
        </w:rPr>
        <w:t>于202</w:t>
      </w:r>
      <w:r>
        <w:rPr>
          <w:rFonts w:hint="default"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日发布了受理</w:t>
      </w:r>
      <w:r>
        <w:rPr>
          <w:rFonts w:hint="eastAsia" w:ascii="宋体" w:hAnsi="宋体" w:eastAsia="宋体" w:cs="宋体"/>
          <w:sz w:val="24"/>
          <w:szCs w:val="24"/>
          <w:highlight w:val="none"/>
          <w:lang w:eastAsia="zh-CN"/>
        </w:rPr>
        <w:t>余姚市精诚高新技术有限公司</w:t>
      </w:r>
      <w:r>
        <w:rPr>
          <w:rFonts w:hint="eastAsia" w:ascii="宋体" w:hAnsi="宋体" w:eastAsia="宋体" w:cs="宋体"/>
          <w:color w:val="000000" w:themeColor="text1"/>
          <w:sz w:val="24"/>
          <w:szCs w:val="24"/>
          <w:highlight w:val="none"/>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highlight w:val="none"/>
          <w:lang w:val="en-US" w:eastAsia="zh-Hans"/>
          <w14:textFill>
            <w14:solidFill>
              <w14:schemeClr w14:val="tx1"/>
            </w14:solidFill>
          </w14:textFill>
        </w:rPr>
        <w:t>余姚市</w:t>
      </w:r>
      <w:r>
        <w:rPr>
          <w:rFonts w:hint="eastAsia" w:ascii="宋体" w:hAnsi="宋体" w:eastAsia="宋体" w:cs="宋体"/>
          <w:color w:val="000000" w:themeColor="text1"/>
          <w:sz w:val="24"/>
          <w:szCs w:val="24"/>
          <w:highlight w:val="none"/>
          <w14:textFill>
            <w14:solidFill>
              <w14:schemeClr w14:val="tx1"/>
            </w14:solidFill>
          </w14:textFill>
        </w:rPr>
        <w:t>人民法院规定的申报期限内（202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日前）完</w:t>
      </w:r>
      <w:r>
        <w:rPr>
          <w:rFonts w:hint="eastAsia" w:ascii="宋体" w:hAnsi="宋体" w:eastAsia="宋体" w:cs="宋体"/>
          <w:color w:val="000000" w:themeColor="text1"/>
          <w:sz w:val="24"/>
          <w:szCs w:val="24"/>
          <w14:textFill>
            <w14:solidFill>
              <w14:schemeClr w14:val="tx1"/>
            </w14:solidFill>
          </w14:textFill>
        </w:rPr>
        <w:t>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eastAsia" w:ascii="宋体" w:hAnsi="宋体" w:eastAsia="宋体" w:cs="宋体"/>
          <w:sz w:val="24"/>
          <w:szCs w:val="24"/>
        </w:rPr>
        <w:t>1533668975</w:t>
      </w:r>
      <w:r>
        <w:rPr>
          <w:rFonts w:hint="eastAsia" w:ascii="宋体" w:hAnsi="宋体" w:cs="宋体"/>
          <w:sz w:val="24"/>
          <w:szCs w:val="24"/>
          <w:lang w:val="en-US" w:eastAsia="zh-CN"/>
        </w:rPr>
        <w:t>0</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w:t>
      </w:r>
      <w:r>
        <w:rPr>
          <w:rFonts w:hint="eastAsia" w:ascii="宋体" w:hAnsi="宋体" w:eastAsia="宋体" w:cs="宋体"/>
          <w:color w:val="000000" w:themeColor="text1"/>
          <w:sz w:val="24"/>
          <w:szCs w:val="24"/>
          <w:lang w:val="en-US" w:eastAsia="zh-CN"/>
          <w14:textFill>
            <w14:solidFill>
              <w14:schemeClr w14:val="tx1"/>
            </w14:solidFill>
          </w14:textFill>
        </w:rPr>
        <w:t>研究动态</w:t>
      </w:r>
      <w:r>
        <w:rPr>
          <w:rFonts w:hint="eastAsia" w:ascii="宋体" w:hAnsi="宋体" w:eastAsia="宋体" w:cs="宋体"/>
          <w:color w:val="000000" w:themeColor="text1"/>
          <w:sz w:val="24"/>
          <w:szCs w:val="24"/>
          <w14:textFill>
            <w14:solidFill>
              <w14:schemeClr w14:val="tx1"/>
            </w14:solidFill>
          </w14:textFill>
        </w:rPr>
        <w:t>”项下“公告通知”，选择相关债权项目，点击通知项下“债权申报资料”进行下载。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lang w:eastAsia="zh-CN"/>
        </w:rPr>
        <w:t>余姚市精诚高新技术有限公司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十二</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二十</w:t>
      </w:r>
      <w:bookmarkStart w:id="0" w:name="_GoBack"/>
      <w:bookmarkEnd w:id="0"/>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eastAsia="zh-CN"/>
      </w:rPr>
      <w:t>余姚市精诚高新技术有限公司</w:t>
    </w:r>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6F2271E4"/>
    <w:rsid w:val="7BF76CAA"/>
    <w:rsid w:val="7F4F9CC5"/>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0</TotalTime>
  <ScaleCrop>false</ScaleCrop>
  <LinksUpToDate>false</LinksUpToDate>
  <CharactersWithSpaces>2739</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2019-01-17T10:38:00Z</dcterms:created>
  <dc:creator>Microsoft Office 用户</dc:creator>
  <cp:lastModifiedBy>lawyer</cp:lastModifiedBy>
  <dcterms:modified xsi:type="dcterms:W3CDTF">2023-12-19T18:31:09Z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A878BFF6DC2430D1D6BEB763BD95DE76</vt:lpwstr>
  </property>
</Properties>
</file>