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  <w:t>宁波舜天金属制品有限公司管理人</w:t>
      </w:r>
    </w:p>
    <w:p>
      <w:pPr>
        <w:spacing w:line="1000" w:lineRule="exact"/>
        <w:jc w:val="center"/>
        <w:rPr>
          <w:rFonts w:hint="eastAsia" w:ascii="宋体" w:hAnsi="宋体" w:eastAsia="宋体" w:cs="宋体"/>
          <w:b/>
          <w:bCs/>
          <w:color w:val="000000"/>
          <w:spacing w:val="60"/>
          <w:sz w:val="48"/>
          <w:szCs w:val="48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spacing w:val="60"/>
          <w:sz w:val="48"/>
          <w:szCs w:val="48"/>
          <w:lang w:val="en-US" w:eastAsia="zh-Hans"/>
        </w:rPr>
        <w:t>通知书</w:t>
      </w:r>
    </w:p>
    <w:p>
      <w:pPr>
        <w:widowControl w:val="0"/>
        <w:numPr>
          <w:ilvl w:val="0"/>
          <w:numId w:val="0"/>
        </w:num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(2023)浙太安非事字第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57-5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号</w:t>
      </w:r>
    </w:p>
    <w:p>
      <w:pPr>
        <w:widowControl w:val="0"/>
        <w:numPr>
          <w:ilvl w:val="0"/>
          <w:numId w:val="0"/>
        </w:numPr>
        <w:spacing w:line="500" w:lineRule="exact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各债权人：</w:t>
      </w:r>
    </w:p>
    <w:p>
      <w:pPr>
        <w:widowControl w:val="0"/>
        <w:spacing w:line="500" w:lineRule="exact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202</w:t>
      </w:r>
      <w:r>
        <w:rPr>
          <w:rFonts w:hint="default" w:ascii="宋体" w:hAnsi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default" w:ascii="宋体" w:hAnsi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default" w:ascii="宋体" w:hAnsi="宋体" w:cs="宋体"/>
          <w:sz w:val="24"/>
          <w:szCs w:val="24"/>
        </w:rPr>
        <w:t>31</w:t>
      </w:r>
      <w:r>
        <w:rPr>
          <w:rFonts w:hint="eastAsia" w:ascii="宋体" w:hAnsi="宋体" w:eastAsia="宋体" w:cs="宋体"/>
          <w:sz w:val="24"/>
          <w:szCs w:val="24"/>
        </w:rPr>
        <w:t>日，</w:t>
      </w:r>
      <w:r>
        <w:rPr>
          <w:rFonts w:hint="eastAsia" w:ascii="宋体" w:hAnsi="宋体" w:cs="宋体"/>
          <w:sz w:val="24"/>
          <w:szCs w:val="24"/>
          <w:lang w:val="en-US" w:eastAsia="zh-Hans"/>
        </w:rPr>
        <w:t>余姚市</w:t>
      </w:r>
      <w:r>
        <w:rPr>
          <w:rFonts w:hint="eastAsia" w:ascii="宋体" w:hAnsi="宋体" w:eastAsia="宋体" w:cs="宋体"/>
          <w:sz w:val="24"/>
          <w:szCs w:val="24"/>
        </w:rPr>
        <w:t>人民法院作出（202</w:t>
      </w:r>
      <w:r>
        <w:rPr>
          <w:rFonts w:hint="default" w:ascii="宋体" w:hAnsi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）浙02</w:t>
      </w:r>
      <w:r>
        <w:rPr>
          <w:rFonts w:hint="default" w:ascii="宋体" w:hAnsi="宋体" w:cs="宋体"/>
          <w:sz w:val="24"/>
          <w:szCs w:val="24"/>
        </w:rPr>
        <w:t>81</w:t>
      </w:r>
      <w:r>
        <w:rPr>
          <w:rFonts w:hint="eastAsia" w:ascii="宋体" w:hAnsi="宋体" w:eastAsia="宋体" w:cs="宋体"/>
          <w:sz w:val="24"/>
          <w:szCs w:val="24"/>
        </w:rPr>
        <w:t>破申</w:t>
      </w:r>
      <w:r>
        <w:rPr>
          <w:rFonts w:hint="default" w:ascii="宋体" w:hAnsi="宋体" w:cs="宋体"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号《民事裁定书》，裁定受理宁波舜天金属制品有限公司破产清算一案，并于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同日</w:t>
      </w:r>
      <w:r>
        <w:rPr>
          <w:rFonts w:hint="eastAsia" w:ascii="宋体" w:hAnsi="宋体" w:eastAsia="宋体" w:cs="宋体"/>
          <w:sz w:val="24"/>
          <w:szCs w:val="24"/>
        </w:rPr>
        <w:t>指定浙江太安律师事务所为宁波舜天金属制品有限公司管理人。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现管理人就相关事项通知如下：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一、债权申报事项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1.申报时间：截止2023年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日；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2.申报地点：浙江省宁波市鄞州区嘉会街288号宁波中心大厦32楼；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3.联系方式：滕冰倩，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15757870687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； 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债权申报资料下载地址：www.taianlawfirm.com，进入页面后，选择“公示公告”，或关注“浙江太安律师事务所”微信公众号，选择“更多服务”项下“公告通知”，选择相关债权项目，点击通知项下“债权申报资料”进行下载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5.其他注意事项：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1）债权人申报债权时需要书面说明债权数额、有无财产担保及是否属于连带债权。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）未在上述期限内申报债权的，可以在破产财产分配方案提交债权人会议讨论前补充申报，但对此前已进行的分配无权要求补充分配，同时要承担为审查和确认补充申报债权所产生的费用。未申报债权的，不得依照《中华人民共和国企业破产法》规定的程序行使权利。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二、第一次债权人会议事项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1.会议时间：2023年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月2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开始；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2.会议地址：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余姚市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人民法院第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审判庭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（余姚市谭家岭西路140号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3.参会人员：依法申报债权的债权人等；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其他注意事项：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特此通知。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</w:rPr>
        <w:t>宁波舜天金属制品有限公司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管理人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二〇二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八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 w:val="0"/>
        <w:spacing w:line="500" w:lineRule="exact"/>
        <w:ind w:firstLine="700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ind w:firstLine="70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ngti SC Regular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Songti SC Regular" w:hAnsi="Songti SC Regular" w:eastAsia="Songti SC Regular" w:cs="Songti SC Regular"/>
        <w:lang w:val="en-US" w:eastAsia="zh-Hans"/>
      </w:rPr>
    </w:pPr>
    <w:r>
      <w:rPr>
        <w:rFonts w:hint="eastAsia" w:ascii="Songti SC Regular" w:hAnsi="Songti SC Regular" w:eastAsia="Songti SC Regular" w:cs="Songti SC Regular"/>
        <w:lang w:val="en-US" w:eastAsia="zh-Hans"/>
      </w:rPr>
      <w:t>宁波舜天金属制品有限公司破产清算案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4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A5"/>
    <w:rsid w:val="0001555F"/>
    <w:rsid w:val="00063918"/>
    <w:rsid w:val="000B0E1A"/>
    <w:rsid w:val="00142CB2"/>
    <w:rsid w:val="00252C5D"/>
    <w:rsid w:val="004447A3"/>
    <w:rsid w:val="00457D6D"/>
    <w:rsid w:val="00493928"/>
    <w:rsid w:val="004A39B1"/>
    <w:rsid w:val="00572EB1"/>
    <w:rsid w:val="006646FC"/>
    <w:rsid w:val="0068079C"/>
    <w:rsid w:val="006A68A2"/>
    <w:rsid w:val="007C163E"/>
    <w:rsid w:val="008350C7"/>
    <w:rsid w:val="008624F9"/>
    <w:rsid w:val="0089767A"/>
    <w:rsid w:val="008A390C"/>
    <w:rsid w:val="0091341A"/>
    <w:rsid w:val="00974297"/>
    <w:rsid w:val="00A04673"/>
    <w:rsid w:val="00AD375A"/>
    <w:rsid w:val="00B80154"/>
    <w:rsid w:val="00C01FBE"/>
    <w:rsid w:val="00C2307B"/>
    <w:rsid w:val="00C921D2"/>
    <w:rsid w:val="00D126C5"/>
    <w:rsid w:val="00DB5035"/>
    <w:rsid w:val="00E61645"/>
    <w:rsid w:val="00E72BA5"/>
    <w:rsid w:val="3FDFC06D"/>
    <w:rsid w:val="9FBFAA5C"/>
    <w:rsid w:val="C6FF2B83"/>
    <w:rsid w:val="CFBF8125"/>
    <w:rsid w:val="DFBB3AC9"/>
    <w:rsid w:val="FA7B974E"/>
    <w:rsid w:val="FF39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691</Characters>
  <Lines>5</Lines>
  <Paragraphs>1</Paragraphs>
  <TotalTime>1</TotalTime>
  <ScaleCrop>false</ScaleCrop>
  <LinksUpToDate>false</LinksUpToDate>
  <CharactersWithSpaces>811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2020-11-04T10:39:00Z</dcterms:created>
  <dc:creator>Microsoft Office User</dc:creator>
  <cp:lastModifiedBy>lawyer</cp:lastModifiedBy>
  <cp:lastPrinted>2020-11-05T06:23:00Z</cp:lastPrinted>
  <dcterms:modified xsi:type="dcterms:W3CDTF">2023-06-08T12:53:18Z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AD625D9B0FB7F3E80A72B763946260C1</vt:lpwstr>
  </property>
</Properties>
</file>