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bCs/>
          <w:color w:val="000000" w:themeColor="text1"/>
          <w:sz w:val="44"/>
          <w:szCs w:val="44"/>
          <w14:textFill>
            <w14:solidFill>
              <w14:schemeClr w14:val="tx1"/>
            </w14:solidFill>
          </w14:textFill>
        </w:rPr>
      </w:pPr>
      <w:r>
        <w:rPr>
          <w:rFonts w:hint="eastAsia" w:ascii="仿宋" w:hAnsi="仿宋" w:eastAsia="仿宋"/>
          <w:b/>
          <w:bCs/>
          <w:color w:val="000000" w:themeColor="text1"/>
          <w:sz w:val="44"/>
          <w:szCs w:val="44"/>
          <w14:textFill>
            <w14:solidFill>
              <w14:schemeClr w14:val="tx1"/>
            </w14:solidFill>
          </w14:textFill>
        </w:rPr>
        <w:t>破产债权申报须知</w:t>
      </w:r>
    </w:p>
    <w:p>
      <w:pPr>
        <w:spacing w:line="480" w:lineRule="exac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202</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年</w:t>
      </w:r>
      <w:r>
        <w:rPr>
          <w:rFonts w:ascii="仿宋" w:hAnsi="仿宋" w:eastAsia="仿宋"/>
          <w:color w:val="000000" w:themeColor="text1"/>
          <w:sz w:val="24"/>
          <w:szCs w:val="24"/>
          <w14:textFill>
            <w14:solidFill>
              <w14:schemeClr w14:val="tx1"/>
            </w14:solidFill>
          </w14:textFill>
        </w:rPr>
        <w:t>12</w:t>
      </w:r>
      <w:r>
        <w:rPr>
          <w:rFonts w:hint="eastAsia" w:ascii="仿宋" w:hAnsi="仿宋" w:eastAsia="仿宋"/>
          <w:color w:val="000000" w:themeColor="text1"/>
          <w:sz w:val="24"/>
          <w:szCs w:val="24"/>
          <w14:textFill>
            <w14:solidFill>
              <w14:schemeClr w14:val="tx1"/>
            </w14:solidFill>
          </w14:textFill>
        </w:rPr>
        <w:t>月2</w:t>
      </w:r>
      <w:r>
        <w:rPr>
          <w:rFonts w:hint="eastAsia" w:ascii="仿宋" w:hAnsi="仿宋" w:eastAsia="仿宋"/>
          <w:color w:val="000000" w:themeColor="text1"/>
          <w:sz w:val="24"/>
          <w:szCs w:val="24"/>
          <w:lang w:val="en-US" w:eastAsia="zh-CN"/>
          <w14:textFill>
            <w14:solidFill>
              <w14:schemeClr w14:val="tx1"/>
            </w14:solidFill>
          </w14:textFill>
        </w:rPr>
        <w:t>6</w:t>
      </w:r>
      <w:r>
        <w:rPr>
          <w:rFonts w:hint="eastAsia" w:ascii="仿宋" w:hAnsi="仿宋" w:eastAsia="仿宋"/>
          <w:color w:val="000000" w:themeColor="text1"/>
          <w:sz w:val="24"/>
          <w:szCs w:val="24"/>
          <w14:textFill>
            <w14:solidFill>
              <w14:schemeClr w14:val="tx1"/>
            </w14:solidFill>
          </w14:textFill>
        </w:rPr>
        <w:t>日，宁波市鄞州人民法院作出（202</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）浙0212破</w:t>
      </w:r>
      <w:r>
        <w:rPr>
          <w:rFonts w:hint="eastAsia" w:ascii="仿宋" w:hAnsi="仿宋" w:eastAsia="仿宋"/>
          <w:color w:val="000000" w:themeColor="text1"/>
          <w:sz w:val="24"/>
          <w:szCs w:val="24"/>
          <w:lang w:val="en-US" w:eastAsia="zh-CN"/>
          <w14:textFill>
            <w14:solidFill>
              <w14:schemeClr w14:val="tx1"/>
            </w14:solidFill>
          </w14:textFill>
        </w:rPr>
        <w:t>申131</w:t>
      </w:r>
      <w:r>
        <w:rPr>
          <w:rFonts w:hint="eastAsia" w:ascii="仿宋" w:hAnsi="仿宋" w:eastAsia="仿宋"/>
          <w:color w:val="000000" w:themeColor="text1"/>
          <w:sz w:val="24"/>
          <w:szCs w:val="24"/>
          <w14:textFill>
            <w14:solidFill>
              <w14:schemeClr w14:val="tx1"/>
            </w14:solidFill>
          </w14:textFill>
        </w:rPr>
        <w:t>号《民事裁定书》，裁定受理</w:t>
      </w:r>
      <w:r>
        <w:rPr>
          <w:rFonts w:ascii="仿宋" w:hAnsi="仿宋" w:eastAsia="仿宋"/>
          <w:color w:val="000000" w:themeColor="text1"/>
          <w:sz w:val="24"/>
          <w:szCs w:val="24"/>
          <w14:textFill>
            <w14:solidFill>
              <w14:schemeClr w14:val="tx1"/>
            </w14:solidFill>
          </w14:textFill>
        </w:rPr>
        <w:t>宁波</w:t>
      </w:r>
      <w:r>
        <w:rPr>
          <w:rFonts w:hint="eastAsia" w:ascii="仿宋" w:hAnsi="仿宋" w:eastAsia="仿宋"/>
          <w:color w:val="000000" w:themeColor="text1"/>
          <w:sz w:val="24"/>
          <w:szCs w:val="24"/>
          <w:lang w:val="en-US" w:eastAsia="zh-CN"/>
          <w14:textFill>
            <w14:solidFill>
              <w14:schemeClr w14:val="tx1"/>
            </w14:solidFill>
          </w14:textFill>
        </w:rPr>
        <w:t>祥瑞五环建筑装饰工程</w:t>
      </w:r>
      <w:r>
        <w:rPr>
          <w:rFonts w:ascii="仿宋" w:hAnsi="仿宋" w:eastAsia="仿宋"/>
          <w:color w:val="000000" w:themeColor="text1"/>
          <w:sz w:val="24"/>
          <w:szCs w:val="24"/>
          <w14:textFill>
            <w14:solidFill>
              <w14:schemeClr w14:val="tx1"/>
            </w14:solidFill>
          </w14:textFill>
        </w:rPr>
        <w:t>有限公司</w:t>
      </w:r>
      <w:r>
        <w:rPr>
          <w:rFonts w:hint="eastAsia" w:ascii="仿宋" w:hAnsi="仿宋" w:eastAsia="仿宋"/>
          <w:color w:val="000000" w:themeColor="text1"/>
          <w:sz w:val="24"/>
          <w:szCs w:val="24"/>
          <w14:textFill>
            <w14:solidFill>
              <w14:schemeClr w14:val="tx1"/>
            </w14:solidFill>
          </w14:textFill>
        </w:rPr>
        <w:t>破产清算一案，并指定浙江太安律师事务所为</w:t>
      </w:r>
      <w:r>
        <w:rPr>
          <w:rFonts w:ascii="仿宋" w:hAnsi="仿宋" w:eastAsia="仿宋"/>
          <w:color w:val="000000" w:themeColor="text1"/>
          <w:sz w:val="24"/>
          <w:szCs w:val="24"/>
          <w14:textFill>
            <w14:solidFill>
              <w14:schemeClr w14:val="tx1"/>
            </w14:solidFill>
          </w14:textFill>
        </w:rPr>
        <w:t>宁波</w:t>
      </w:r>
      <w:r>
        <w:rPr>
          <w:rFonts w:hint="eastAsia" w:ascii="仿宋" w:hAnsi="仿宋" w:eastAsia="仿宋"/>
          <w:color w:val="000000" w:themeColor="text1"/>
          <w:sz w:val="24"/>
          <w:szCs w:val="24"/>
          <w:lang w:val="en-US" w:eastAsia="zh-CN"/>
          <w14:textFill>
            <w14:solidFill>
              <w14:schemeClr w14:val="tx1"/>
            </w14:solidFill>
          </w14:textFill>
        </w:rPr>
        <w:t>祥瑞五环建筑装饰工程</w:t>
      </w:r>
      <w:r>
        <w:rPr>
          <w:rFonts w:ascii="仿宋" w:hAnsi="仿宋" w:eastAsia="仿宋"/>
          <w:color w:val="000000" w:themeColor="text1"/>
          <w:sz w:val="24"/>
          <w:szCs w:val="24"/>
          <w14:textFill>
            <w14:solidFill>
              <w14:schemeClr w14:val="tx1"/>
            </w14:solidFill>
          </w14:textFill>
        </w:rPr>
        <w:t>有限公司</w:t>
      </w:r>
      <w:r>
        <w:rPr>
          <w:rFonts w:hint="eastAsia" w:ascii="仿宋" w:hAnsi="仿宋" w:eastAsia="仿宋"/>
          <w:color w:val="000000" w:themeColor="text1"/>
          <w:sz w:val="24"/>
          <w:szCs w:val="24"/>
          <w14:textFill>
            <w14:solidFill>
              <w14:schemeClr w14:val="tx1"/>
            </w14:solidFill>
          </w14:textFill>
        </w:rPr>
        <w:t>管理人（以下简称“管理人”）。为明确债权人及利害关系人在债权申报阶段之权利、义务，特作如下须知：</w:t>
      </w:r>
    </w:p>
    <w:p>
      <w:pPr>
        <w:pStyle w:val="9"/>
        <w:spacing w:line="480" w:lineRule="exact"/>
        <w:ind w:left="480" w:firstLine="0" w:firstLineChars="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一、债权申报期限</w:t>
      </w:r>
    </w:p>
    <w:p>
      <w:pPr>
        <w:pStyle w:val="9"/>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管理人于20</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年</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月</w:t>
      </w:r>
      <w:r>
        <w:rPr>
          <w:rFonts w:hint="eastAsia" w:ascii="仿宋" w:hAnsi="仿宋" w:eastAsia="仿宋"/>
          <w:color w:val="000000" w:themeColor="text1"/>
          <w:sz w:val="24"/>
          <w:szCs w:val="24"/>
          <w:lang w:val="en-US" w:eastAsia="zh-CN"/>
          <w14:textFill>
            <w14:solidFill>
              <w14:schemeClr w14:val="tx1"/>
            </w14:solidFill>
          </w14:textFill>
        </w:rPr>
        <w:t>24</w:t>
      </w:r>
      <w:r>
        <w:rPr>
          <w:rFonts w:hint="eastAsia" w:ascii="仿宋" w:hAnsi="仿宋" w:eastAsia="仿宋"/>
          <w:color w:val="000000" w:themeColor="text1"/>
          <w:sz w:val="24"/>
          <w:szCs w:val="24"/>
          <w14:textFill>
            <w14:solidFill>
              <w14:schemeClr w14:val="tx1"/>
            </w14:solidFill>
          </w14:textFill>
        </w:rPr>
        <w:t>日发布了受理</w:t>
      </w:r>
      <w:r>
        <w:rPr>
          <w:rFonts w:ascii="仿宋" w:hAnsi="仿宋" w:eastAsia="仿宋"/>
          <w:color w:val="000000" w:themeColor="text1"/>
          <w:sz w:val="24"/>
          <w:szCs w:val="24"/>
          <w14:textFill>
            <w14:solidFill>
              <w14:schemeClr w14:val="tx1"/>
            </w14:solidFill>
          </w14:textFill>
        </w:rPr>
        <w:t>宁波</w:t>
      </w:r>
      <w:r>
        <w:rPr>
          <w:rFonts w:hint="eastAsia" w:ascii="仿宋" w:hAnsi="仿宋" w:eastAsia="仿宋"/>
          <w:color w:val="000000" w:themeColor="text1"/>
          <w:sz w:val="24"/>
          <w:szCs w:val="24"/>
          <w:lang w:val="en-US" w:eastAsia="zh-CN"/>
          <w14:textFill>
            <w14:solidFill>
              <w14:schemeClr w14:val="tx1"/>
            </w14:solidFill>
          </w14:textFill>
        </w:rPr>
        <w:t>祥瑞五环建筑装饰工程</w:t>
      </w:r>
      <w:r>
        <w:rPr>
          <w:rFonts w:ascii="仿宋" w:hAnsi="仿宋" w:eastAsia="仿宋"/>
          <w:color w:val="000000" w:themeColor="text1"/>
          <w:sz w:val="24"/>
          <w:szCs w:val="24"/>
          <w14:textFill>
            <w14:solidFill>
              <w14:schemeClr w14:val="tx1"/>
            </w14:solidFill>
          </w14:textFill>
        </w:rPr>
        <w:t>有限公司</w:t>
      </w:r>
      <w:r>
        <w:rPr>
          <w:rFonts w:hint="eastAsia" w:ascii="仿宋" w:hAnsi="仿宋" w:eastAsia="仿宋"/>
          <w:color w:val="000000" w:themeColor="text1"/>
          <w:sz w:val="24"/>
          <w:szCs w:val="24"/>
          <w14:textFill>
            <w14:solidFill>
              <w14:schemeClr w14:val="tx1"/>
            </w14:solidFill>
          </w14:textFill>
        </w:rPr>
        <w:t>破产清算公告。为保障债权人利益，债权人应当在宁波市鄞州区人民法院规定的申报期限内（202</w:t>
      </w:r>
      <w:r>
        <w:rPr>
          <w:rFonts w:hint="eastAsia" w:ascii="仿宋" w:hAnsi="仿宋" w:eastAsia="仿宋"/>
          <w:color w:val="000000" w:themeColor="text1"/>
          <w:sz w:val="24"/>
          <w:szCs w:val="24"/>
          <w:lang w:val="en-US" w:eastAsia="zh-CN"/>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年</w:t>
      </w:r>
      <w:r>
        <w:rPr>
          <w:rFonts w:hint="eastAsia" w:ascii="仿宋" w:hAnsi="仿宋" w:eastAsia="仿宋"/>
          <w:color w:val="000000" w:themeColor="text1"/>
          <w:sz w:val="24"/>
          <w:szCs w:val="24"/>
          <w:lang w:val="en-US" w:eastAsia="zh-CN"/>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月</w:t>
      </w:r>
      <w:r>
        <w:rPr>
          <w:rFonts w:hint="eastAsia" w:ascii="仿宋" w:hAnsi="仿宋" w:eastAsia="仿宋"/>
          <w:color w:val="000000" w:themeColor="text1"/>
          <w:sz w:val="24"/>
          <w:szCs w:val="24"/>
          <w:lang w:val="en-US" w:eastAsia="zh-CN"/>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日前）完成债权申报。</w:t>
      </w:r>
    </w:p>
    <w:p>
      <w:pPr>
        <w:pStyle w:val="9"/>
        <w:spacing w:line="480" w:lineRule="exact"/>
        <w:ind w:left="480" w:firstLine="0" w:firstLineChars="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二、债权申报注意事项</w:t>
      </w:r>
    </w:p>
    <w:p>
      <w:pPr>
        <w:pStyle w:val="9"/>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根据《企业破产法》的规定，破产债权是指人民法院受理破产申请时对债务人享有的债权。债权人在申报债权时应当注意以下几点：</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未到期的债权，在破产申请受理时视为债权到期；</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附利息的债权，自破产申请受理时起停止计算，即利息计算到202</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年</w:t>
      </w:r>
      <w:r>
        <w:rPr>
          <w:rFonts w:ascii="仿宋" w:hAnsi="仿宋" w:eastAsia="仿宋"/>
          <w:color w:val="000000" w:themeColor="text1"/>
          <w:sz w:val="24"/>
          <w:szCs w:val="24"/>
          <w14:textFill>
            <w14:solidFill>
              <w14:schemeClr w14:val="tx1"/>
            </w14:solidFill>
          </w14:textFill>
        </w:rPr>
        <w:t>12</w:t>
      </w:r>
      <w:r>
        <w:rPr>
          <w:rFonts w:hint="eastAsia" w:ascii="仿宋" w:hAnsi="仿宋" w:eastAsia="仿宋"/>
          <w:color w:val="000000" w:themeColor="text1"/>
          <w:sz w:val="24"/>
          <w:szCs w:val="24"/>
          <w14:textFill>
            <w14:solidFill>
              <w14:schemeClr w14:val="tx1"/>
            </w14:solidFill>
          </w14:textFill>
        </w:rPr>
        <w:t>月</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6</w:t>
      </w:r>
      <w:r>
        <w:rPr>
          <w:rFonts w:hint="eastAsia" w:ascii="仿宋" w:hAnsi="仿宋" w:eastAsia="仿宋"/>
          <w:color w:val="000000" w:themeColor="text1"/>
          <w:sz w:val="24"/>
          <w:szCs w:val="24"/>
          <w14:textFill>
            <w14:solidFill>
              <w14:schemeClr w14:val="tx1"/>
            </w14:solidFill>
          </w14:textFill>
        </w:rPr>
        <w:t>日破产申请受理时；</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附条件、附期限的债权和诉讼、仲裁未决的债权，债权人可以申报；</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连带债权人可以由其中一人代表全体连带债权人申报债权，也可以共同申报债；</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债务人的保证人或者其他连带债务人已经代替债务人清偿债务的，可就其对债务人的求偿权申报债权；</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管理人或者债务人依照《企业破产法》规定解除合同的，对方当事人以因合同解除所产生的损害赔偿请求权申报债权；</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债务人是委托合同的委托人，被裁定适用《企业破产法》规定的程序，受托人不知该事实，继续处理委托事务的，受托人以由此产生的请求权申报债权；</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债务人是票据的出票人，被裁定适用《企业破产法》规定的程序，该票据的付款人继续付款或者承兑的，付款人以由此产生的请求权申报债权；</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法律规定其他可以申报的债权，债权人可以申报。</w:t>
      </w:r>
    </w:p>
    <w:p>
      <w:pPr>
        <w:pStyle w:val="9"/>
        <w:spacing w:line="480" w:lineRule="exact"/>
        <w:ind w:left="480" w:firstLine="0" w:firstLineChars="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三、未申报或逾期申报法律后果</w:t>
      </w:r>
    </w:p>
    <w:p>
      <w:pPr>
        <w:pStyle w:val="9"/>
        <w:spacing w:line="480" w:lineRule="exact"/>
        <w:ind w:left="420" w:leftChars="200" w:firstLine="0" w:firstLineChars="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根据《企业破产法》规定，未申报或逾期申报债权的法律后果主要包括：</w:t>
      </w:r>
    </w:p>
    <w:p>
      <w:pPr>
        <w:pStyle w:val="9"/>
        <w:numPr>
          <w:ilvl w:val="0"/>
          <w:numId w:val="2"/>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债权人未申报债权，不得依照《企业破产法》规定的程序行使权利。</w:t>
      </w:r>
    </w:p>
    <w:p>
      <w:pPr>
        <w:pStyle w:val="9"/>
        <w:numPr>
          <w:ilvl w:val="0"/>
          <w:numId w:val="2"/>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债权人未按期申报，已分配的财产不对其补充分配，即在破产财产最后分配前补充申报，此前已进行的分配仍不再补充分配，且债权人还应该承担因审查、确认补充债权产生的相关费用。</w:t>
      </w:r>
    </w:p>
    <w:p>
      <w:pPr>
        <w:pStyle w:val="9"/>
        <w:numPr>
          <w:ilvl w:val="0"/>
          <w:numId w:val="2"/>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如债务人进入重整程序，债权人未按期申报债权，在重整计划执行期间债权人不得行使权利；在重整计划执行完毕后，债权人可以按照重整计划规定的同类债权的清偿条件行使权利。</w:t>
      </w:r>
    </w:p>
    <w:p>
      <w:pPr>
        <w:pStyle w:val="9"/>
        <w:numPr>
          <w:ilvl w:val="0"/>
          <w:numId w:val="2"/>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如债务人进入破产和解程序，债权人未按期申报债权，在和解协议计划执行期间债权人不得行使权利；债权人在和解协议执行完毕后，可以按照和解协议规定的清偿条件行使权利。</w:t>
      </w:r>
    </w:p>
    <w:p>
      <w:pPr>
        <w:pStyle w:val="9"/>
        <w:spacing w:line="480" w:lineRule="exact"/>
        <w:ind w:left="480" w:firstLine="0" w:firstLineChars="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四、债权申报应提交的材料</w:t>
      </w:r>
    </w:p>
    <w:p>
      <w:pPr>
        <w:pStyle w:val="9"/>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申报人应当如实、详细填写《债权申报表》以及提供完整、真实有效的申报材料。申报债权应提供如下材料：</w:t>
      </w:r>
    </w:p>
    <w:p>
      <w:pPr>
        <w:pStyle w:val="9"/>
        <w:numPr>
          <w:ilvl w:val="0"/>
          <w:numId w:val="3"/>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债权申报提交文件清单</w:t>
      </w:r>
      <w:r>
        <w:rPr>
          <w:rFonts w:hint="eastAsia" w:ascii="仿宋" w:hAnsi="仿宋" w:eastAsia="仿宋"/>
          <w:b/>
          <w:bCs/>
          <w:color w:val="000000" w:themeColor="text1"/>
          <w:sz w:val="24"/>
          <w:szCs w:val="24"/>
          <w14:textFill>
            <w14:solidFill>
              <w14:schemeClr w14:val="tx1"/>
            </w14:solidFill>
          </w14:textFill>
        </w:rPr>
        <w:t>一份</w:t>
      </w:r>
    </w:p>
    <w:p>
      <w:pPr>
        <w:spacing w:line="48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申报提交文件清单应为原件（债权人盖章或签字），清单上应填写相应内容。</w:t>
      </w:r>
    </w:p>
    <w:p>
      <w:pPr>
        <w:pStyle w:val="9"/>
        <w:numPr>
          <w:ilvl w:val="0"/>
          <w:numId w:val="3"/>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债权申报人主体资格的材料</w:t>
      </w:r>
      <w:r>
        <w:rPr>
          <w:rFonts w:hint="eastAsia" w:ascii="仿宋" w:hAnsi="仿宋" w:eastAsia="仿宋"/>
          <w:b/>
          <w:bCs/>
          <w:color w:val="000000" w:themeColor="text1"/>
          <w:sz w:val="24"/>
          <w:szCs w:val="24"/>
          <w14:textFill>
            <w14:solidFill>
              <w14:schemeClr w14:val="tx1"/>
            </w14:solidFill>
          </w14:textFill>
        </w:rPr>
        <w:t>一份</w:t>
      </w:r>
    </w:p>
    <w:p>
      <w:pPr>
        <w:pStyle w:val="9"/>
        <w:numPr>
          <w:ilvl w:val="0"/>
          <w:numId w:val="4"/>
        </w:numPr>
        <w:spacing w:line="480" w:lineRule="exact"/>
        <w:ind w:left="0"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自然人债权人须提交的材料</w:t>
      </w:r>
    </w:p>
    <w:p>
      <w:pPr>
        <w:spacing w:line="48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pPr>
        <w:pStyle w:val="9"/>
        <w:numPr>
          <w:ilvl w:val="0"/>
          <w:numId w:val="4"/>
        </w:numPr>
        <w:spacing w:line="480" w:lineRule="exact"/>
        <w:ind w:left="0"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非自然人（包括法人、其他组织等）债权人须提交的材料：</w:t>
      </w:r>
    </w:p>
    <w:p>
      <w:pPr>
        <w:spacing w:line="48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pPr>
        <w:spacing w:line="480" w:lineRule="exact"/>
        <w:ind w:firstLine="482"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仿宋" w:hAnsi="仿宋" w:eastAsia="仿宋"/>
          <w:b/>
          <w:bCs/>
          <w:color w:val="000000" w:themeColor="text1"/>
          <w:sz w:val="24"/>
          <w:szCs w:val="24"/>
          <w14:textFill>
            <w14:solidFill>
              <w14:schemeClr w14:val="tx1"/>
            </w14:solidFill>
          </w14:textFill>
        </w:rPr>
        <w:t>（核对后归还）</w:t>
      </w:r>
      <w:r>
        <w:rPr>
          <w:rFonts w:hint="eastAsia" w:ascii="仿宋" w:hAnsi="仿宋" w:eastAsia="仿宋"/>
          <w:b/>
          <w:color w:val="000000" w:themeColor="text1"/>
          <w:sz w:val="24"/>
          <w:szCs w:val="24"/>
          <w14:textFill>
            <w14:solidFill>
              <w14:schemeClr w14:val="tx1"/>
            </w14:solidFill>
          </w14:textFill>
        </w:rPr>
        <w:t>。若发生变化，则需提供变更后的前述文件。</w:t>
      </w:r>
    </w:p>
    <w:p>
      <w:pPr>
        <w:pStyle w:val="9"/>
        <w:numPr>
          <w:ilvl w:val="0"/>
          <w:numId w:val="3"/>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债权申报表</w:t>
      </w:r>
      <w:r>
        <w:rPr>
          <w:rFonts w:hint="eastAsia" w:ascii="仿宋" w:hAnsi="仿宋" w:eastAsia="仿宋"/>
          <w:b/>
          <w:bCs/>
          <w:color w:val="000000" w:themeColor="text1"/>
          <w:sz w:val="24"/>
          <w:szCs w:val="24"/>
          <w14:textFill>
            <w14:solidFill>
              <w14:schemeClr w14:val="tx1"/>
            </w14:solidFill>
          </w14:textFill>
        </w:rPr>
        <w:t>一式二份</w:t>
      </w:r>
    </w:p>
    <w:p>
      <w:pPr>
        <w:pStyle w:val="9"/>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提交的债权申报表须为原件（债权人盖章或签字）。</w:t>
      </w:r>
    </w:p>
    <w:p>
      <w:pPr>
        <w:pStyle w:val="9"/>
        <w:numPr>
          <w:ilvl w:val="0"/>
          <w:numId w:val="3"/>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证明债权事实的相关证据材料</w:t>
      </w:r>
      <w:r>
        <w:rPr>
          <w:rFonts w:hint="eastAsia" w:ascii="仿宋" w:hAnsi="仿宋" w:eastAsia="仿宋"/>
          <w:b/>
          <w:bCs/>
          <w:color w:val="000000" w:themeColor="text1"/>
          <w:sz w:val="24"/>
          <w:szCs w:val="24"/>
          <w14:textFill>
            <w14:solidFill>
              <w14:schemeClr w14:val="tx1"/>
            </w14:solidFill>
          </w14:textFill>
        </w:rPr>
        <w:t>一式二份</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合同、收款付款凭证、收货单、对账单等各类债权资料；</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债权如有担保的，还须提交抵押合同、质押合同、保证合同及相关的登记证件等担保原始材料；</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申报人在诉讼或仲裁程序中申请财产保全的，须提交法院作出的保全裁定书等关文件；</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能够证明债权发生、变更、存续、诉讼时效中止、中断、延长及债权金额的其他材料；</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债权如有偿还或其他抵债情形的，则须提供偿债凭证、协议或以物抵债协议等相关材料；</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其他能够证明债权成立的依据。</w:t>
      </w:r>
    </w:p>
    <w:p>
      <w:pPr>
        <w:pStyle w:val="9"/>
        <w:spacing w:line="480" w:lineRule="exact"/>
        <w:ind w:firstLine="482"/>
        <w:rPr>
          <w:rFonts w:ascii="仿宋" w:hAnsi="仿宋" w:eastAsia="仿宋"/>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pPr>
        <w:spacing w:line="480" w:lineRule="exact"/>
        <w:ind w:firstLine="482" w:firstLineChars="20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五、填写表格需注意的问题</w:t>
      </w:r>
    </w:p>
    <w:p>
      <w:pPr>
        <w:pStyle w:val="9"/>
        <w:numPr>
          <w:ilvl w:val="0"/>
          <w:numId w:val="6"/>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pPr>
        <w:pStyle w:val="9"/>
        <w:numPr>
          <w:ilvl w:val="0"/>
          <w:numId w:val="6"/>
        </w:numPr>
        <w:spacing w:line="480" w:lineRule="exact"/>
        <w:ind w:firstLine="48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利息债权：附利息的债权，利息计算到破产申请受理时，即20</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年</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月</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6</w:t>
      </w:r>
      <w:r>
        <w:rPr>
          <w:rFonts w:hint="eastAsia" w:ascii="仿宋" w:hAnsi="仿宋" w:eastAsia="仿宋"/>
          <w:color w:val="000000" w:themeColor="text1"/>
          <w:sz w:val="24"/>
          <w:szCs w:val="24"/>
          <w14:textFill>
            <w14:solidFill>
              <w14:schemeClr w14:val="tx1"/>
            </w14:solidFill>
          </w14:textFill>
        </w:rPr>
        <w:t>日。</w:t>
      </w:r>
      <w:r>
        <w:rPr>
          <w:rFonts w:hint="eastAsia" w:ascii="仿宋" w:hAnsi="仿宋" w:eastAsia="仿宋"/>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p>
    <w:p>
      <w:pPr>
        <w:pStyle w:val="9"/>
        <w:numPr>
          <w:ilvl w:val="0"/>
          <w:numId w:val="6"/>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债权发生情况：简要陈述该债权的形成经过，另外对</w:t>
      </w:r>
      <w:r>
        <w:rPr>
          <w:rFonts w:hint="eastAsia" w:ascii="仿宋" w:hAnsi="仿宋" w:eastAsia="仿宋"/>
          <w:b/>
          <w:bCs/>
          <w:color w:val="000000" w:themeColor="text1"/>
          <w:sz w:val="24"/>
          <w:szCs w:val="24"/>
          <w14:textFill>
            <w14:solidFill>
              <w14:schemeClr w14:val="tx1"/>
            </w14:solidFill>
          </w14:textFill>
        </w:rPr>
        <w:t>已开票金额和未开票金额</w:t>
      </w:r>
      <w:r>
        <w:rPr>
          <w:rFonts w:hint="eastAsia" w:ascii="仿宋" w:hAnsi="仿宋" w:eastAsia="仿宋"/>
          <w:color w:val="000000" w:themeColor="text1"/>
          <w:sz w:val="24"/>
          <w:szCs w:val="24"/>
          <w14:textFill>
            <w14:solidFill>
              <w14:schemeClr w14:val="tx1"/>
            </w14:solidFill>
          </w14:textFill>
        </w:rPr>
        <w:t>应填写清楚；若涉及合同关系则该</w:t>
      </w:r>
      <w:r>
        <w:rPr>
          <w:rFonts w:hint="eastAsia" w:ascii="仿宋" w:hAnsi="仿宋" w:eastAsia="仿宋"/>
          <w:b/>
          <w:bCs/>
          <w:color w:val="000000" w:themeColor="text1"/>
          <w:sz w:val="24"/>
          <w:szCs w:val="24"/>
          <w14:textFill>
            <w14:solidFill>
              <w14:schemeClr w14:val="tx1"/>
            </w14:solidFill>
          </w14:textFill>
        </w:rPr>
        <w:t>合同是否已经履行完毕</w:t>
      </w:r>
      <w:r>
        <w:rPr>
          <w:rFonts w:hint="eastAsia" w:ascii="仿宋" w:hAnsi="仿宋" w:eastAsia="仿宋"/>
          <w:color w:val="000000" w:themeColor="text1"/>
          <w:sz w:val="24"/>
          <w:szCs w:val="24"/>
          <w14:textFill>
            <w14:solidFill>
              <w14:schemeClr w14:val="tx1"/>
            </w14:solidFill>
          </w14:textFill>
        </w:rPr>
        <w:t>要填写清楚。</w:t>
      </w:r>
    </w:p>
    <w:p>
      <w:pPr>
        <w:spacing w:line="480" w:lineRule="exact"/>
        <w:ind w:firstLine="482" w:firstLineChars="20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六、债权申报地点</w:t>
      </w:r>
    </w:p>
    <w:p>
      <w:pPr>
        <w:spacing w:line="48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pPr>
        <w:spacing w:line="48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申报地址：浙江省宁波市鄞州区嘉会街288号宁波中心大厦32楼；邮政编码:315000；联系人:</w:t>
      </w:r>
      <w:r>
        <w:rPr>
          <w:rFonts w:hint="eastAsia" w:ascii="仿宋" w:hAnsi="仿宋" w:eastAsia="仿宋"/>
          <w:color w:val="000000" w:themeColor="text1"/>
          <w:sz w:val="24"/>
          <w:szCs w:val="24"/>
          <w:lang w:val="en-US" w:eastAsia="zh-CN"/>
          <w14:textFill>
            <w14:solidFill>
              <w14:schemeClr w14:val="tx1"/>
            </w14:solidFill>
          </w14:textFill>
        </w:rPr>
        <w:t>马</w:t>
      </w:r>
      <w:r>
        <w:rPr>
          <w:rFonts w:hint="eastAsia" w:ascii="仿宋" w:hAnsi="仿宋" w:eastAsia="仿宋"/>
          <w:color w:val="000000" w:themeColor="text1"/>
          <w:sz w:val="24"/>
          <w:szCs w:val="24"/>
          <w14:textFill>
            <w14:solidFill>
              <w14:schemeClr w14:val="tx1"/>
            </w14:solidFill>
          </w14:textFill>
        </w:rPr>
        <w:t>律师；联系电话:</w:t>
      </w:r>
      <w:r>
        <w:rPr>
          <w:rFonts w:ascii="仿宋" w:hAnsi="仿宋" w:eastAsia="仿宋"/>
          <w:color w:val="000000" w:themeColor="text1"/>
          <w:sz w:val="24"/>
          <w:szCs w:val="24"/>
          <w14:textFill>
            <w14:solidFill>
              <w14:schemeClr w14:val="tx1"/>
            </w14:solidFill>
          </w14:textFill>
        </w:rPr>
        <w:t xml:space="preserve"> 1</w:t>
      </w:r>
      <w:r>
        <w:rPr>
          <w:rFonts w:hint="eastAsia" w:ascii="仿宋" w:hAnsi="仿宋" w:eastAsia="仿宋"/>
          <w:color w:val="000000" w:themeColor="text1"/>
          <w:sz w:val="24"/>
          <w:szCs w:val="24"/>
          <w:lang w:val="en-US" w:eastAsia="zh-CN"/>
          <w14:textFill>
            <w14:solidFill>
              <w14:schemeClr w14:val="tx1"/>
            </w14:solidFill>
          </w14:textFill>
        </w:rPr>
        <w:t>3566057793</w:t>
      </w:r>
      <w:r>
        <w:rPr>
          <w:rFonts w:hint="eastAsia" w:ascii="仿宋" w:hAnsi="仿宋" w:eastAsia="仿宋"/>
          <w:color w:val="000000" w:themeColor="text1"/>
          <w:sz w:val="24"/>
          <w:szCs w:val="24"/>
          <w14:textFill>
            <w14:solidFill>
              <w14:schemeClr w14:val="tx1"/>
            </w14:solidFill>
          </w14:textFill>
        </w:rPr>
        <w:t>。</w:t>
      </w:r>
    </w:p>
    <w:p>
      <w:pPr>
        <w:widowControl/>
        <w:shd w:val="clear" w:color="auto" w:fill="FFFFFF"/>
        <w:spacing w:line="480" w:lineRule="exact"/>
        <w:ind w:firstLine="480" w:firstLineChars="20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债权申报资料下载地址：</w:t>
      </w:r>
      <w:r>
        <w:fldChar w:fldCharType="begin"/>
      </w:r>
      <w:r>
        <w:instrText xml:space="preserve"> HYPERLINK "http://wwww.taianlawfirm.com" </w:instrText>
      </w:r>
      <w:r>
        <w:fldChar w:fldCharType="separate"/>
      </w:r>
      <w:r>
        <w:rPr>
          <w:rStyle w:val="6"/>
          <w:rFonts w:ascii="仿宋" w:hAnsi="仿宋" w:eastAsia="仿宋"/>
          <w:color w:val="000000" w:themeColor="text1"/>
          <w:sz w:val="24"/>
          <w:szCs w:val="24"/>
          <w14:textFill>
            <w14:solidFill>
              <w14:schemeClr w14:val="tx1"/>
            </w14:solidFill>
          </w14:textFill>
        </w:rPr>
        <w:t>www.taianlawfirm.com</w:t>
      </w:r>
      <w:r>
        <w:rPr>
          <w:rStyle w:val="6"/>
          <w:rFonts w:ascii="仿宋" w:hAnsi="仿宋" w:eastAsia="仿宋"/>
          <w:color w:val="000000" w:themeColor="text1"/>
          <w:sz w:val="24"/>
          <w:szCs w:val="24"/>
          <w14:textFill>
            <w14:solidFill>
              <w14:schemeClr w14:val="tx1"/>
            </w14:solidFill>
          </w14:textFill>
        </w:rPr>
        <w:fldChar w:fldCharType="end"/>
      </w:r>
      <w:r>
        <w:rPr>
          <w:rFonts w:hint="eastAsia" w:ascii="仿宋" w:hAnsi="仿宋" w:eastAsia="仿宋"/>
          <w:color w:val="000000" w:themeColor="text1"/>
          <w:sz w:val="24"/>
          <w:szCs w:val="24"/>
          <w14:textFill>
            <w14:solidFill>
              <w14:schemeClr w14:val="tx1"/>
            </w14:solidFill>
          </w14:textFill>
        </w:rPr>
        <w:t>，进入页面后，</w:t>
      </w:r>
      <w:r>
        <w:rPr>
          <w:rFonts w:ascii="仿宋" w:hAnsi="仿宋" w:eastAsia="仿宋"/>
          <w:color w:val="000000" w:themeColor="text1"/>
          <w:sz w:val="24"/>
          <w:szCs w:val="24"/>
          <w14:textFill>
            <w14:solidFill>
              <w14:schemeClr w14:val="tx1"/>
            </w14:solidFill>
          </w14:textFill>
        </w:rPr>
        <w:t>选择“公示公告”，选择相关债权项目，点击通知项下“债权申报资料”进行下载</w:t>
      </w:r>
      <w:r>
        <w:rPr>
          <w:rFonts w:hint="eastAsia" w:ascii="仿宋" w:hAnsi="仿宋" w:eastAsia="仿宋"/>
          <w:color w:val="000000" w:themeColor="text1"/>
          <w:sz w:val="24"/>
          <w:szCs w:val="24"/>
          <w14:textFill>
            <w14:solidFill>
              <w14:schemeClr w14:val="tx1"/>
            </w14:solidFill>
          </w14:textFill>
        </w:rPr>
        <w:t>，或关注“浙江太安律师事务所”微信公众号，选择“更多服务”项下“公告通知”，</w:t>
      </w:r>
      <w:r>
        <w:rPr>
          <w:rFonts w:ascii="仿宋" w:hAnsi="仿宋" w:eastAsia="仿宋"/>
          <w:color w:val="000000" w:themeColor="text1"/>
          <w:sz w:val="24"/>
          <w:szCs w:val="24"/>
          <w14:textFill>
            <w14:solidFill>
              <w14:schemeClr w14:val="tx1"/>
            </w14:solidFill>
          </w14:textFill>
        </w:rPr>
        <w:t>选择相关债权项目，点击通知项下“债权申报资料”进行下载</w:t>
      </w:r>
      <w:r>
        <w:rPr>
          <w:rFonts w:hint="eastAsia" w:ascii="仿宋" w:hAnsi="仿宋" w:eastAsia="仿宋"/>
          <w:color w:val="000000" w:themeColor="text1"/>
          <w:sz w:val="24"/>
          <w:szCs w:val="24"/>
          <w14:textFill>
            <w14:solidFill>
              <w14:schemeClr w14:val="tx1"/>
            </w14:solidFill>
          </w14:textFill>
        </w:rPr>
        <w:t>。</w:t>
      </w:r>
    </w:p>
    <w:p>
      <w:pPr>
        <w:widowControl/>
        <w:shd w:val="clear" w:color="auto" w:fill="FFFFFF"/>
        <w:spacing w:line="480" w:lineRule="exact"/>
        <w:ind w:firstLine="480" w:firstLineChars="200"/>
        <w:jc w:val="left"/>
        <w:rPr>
          <w:rFonts w:ascii="仿宋" w:hAnsi="仿宋" w:eastAsia="仿宋"/>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ascii="仿宋" w:hAnsi="仿宋" w:eastAsia="仿宋"/>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ascii="仿宋" w:hAnsi="仿宋" w:eastAsia="仿宋"/>
          <w:color w:val="000000" w:themeColor="text1"/>
          <w:sz w:val="24"/>
          <w:szCs w:val="24"/>
          <w14:textFill>
            <w14:solidFill>
              <w14:schemeClr w14:val="tx1"/>
            </w14:solidFill>
          </w14:textFill>
        </w:rPr>
      </w:pPr>
    </w:p>
    <w:p>
      <w:pPr>
        <w:pStyle w:val="9"/>
        <w:spacing w:line="480" w:lineRule="exact"/>
        <w:ind w:firstLine="480"/>
        <w:jc w:val="right"/>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宁波</w:t>
      </w:r>
      <w:r>
        <w:rPr>
          <w:rFonts w:hint="eastAsia" w:ascii="仿宋" w:hAnsi="仿宋" w:eastAsia="仿宋"/>
          <w:color w:val="000000" w:themeColor="text1"/>
          <w:sz w:val="24"/>
          <w:szCs w:val="24"/>
          <w:lang w:val="en-US" w:eastAsia="zh-CN"/>
          <w14:textFill>
            <w14:solidFill>
              <w14:schemeClr w14:val="tx1"/>
            </w14:solidFill>
          </w14:textFill>
        </w:rPr>
        <w:t>祥瑞五环建筑装饰工程</w:t>
      </w:r>
      <w:r>
        <w:rPr>
          <w:rFonts w:ascii="仿宋" w:hAnsi="仿宋" w:eastAsia="仿宋"/>
          <w:color w:val="000000" w:themeColor="text1"/>
          <w:sz w:val="24"/>
          <w:szCs w:val="24"/>
          <w14:textFill>
            <w14:solidFill>
              <w14:schemeClr w14:val="tx1"/>
            </w14:solidFill>
          </w14:textFill>
        </w:rPr>
        <w:t>有限公司</w:t>
      </w:r>
      <w:r>
        <w:rPr>
          <w:rFonts w:hint="eastAsia" w:ascii="仿宋" w:hAnsi="仿宋" w:eastAsia="仿宋"/>
          <w:color w:val="000000" w:themeColor="text1"/>
          <w:sz w:val="24"/>
          <w:szCs w:val="24"/>
          <w14:textFill>
            <w14:solidFill>
              <w14:schemeClr w14:val="tx1"/>
            </w14:solidFill>
          </w14:textFill>
        </w:rPr>
        <w:t>管理人</w:t>
      </w:r>
    </w:p>
    <w:p>
      <w:pPr>
        <w:pStyle w:val="9"/>
        <w:spacing w:line="480" w:lineRule="exact"/>
        <w:ind w:firstLine="480"/>
        <w:jc w:val="righ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二〇二</w:t>
      </w:r>
      <w:r>
        <w:rPr>
          <w:rFonts w:hint="eastAsia" w:ascii="仿宋" w:hAnsi="仿宋" w:eastAsia="仿宋"/>
          <w:color w:val="000000" w:themeColor="text1"/>
          <w:sz w:val="24"/>
          <w:szCs w:val="24"/>
          <w:lang w:val="en-US" w:eastAsia="zh-CN"/>
          <w14:textFill>
            <w14:solidFill>
              <w14:schemeClr w14:val="tx1"/>
            </w14:solidFill>
          </w14:textFill>
        </w:rPr>
        <w:t>三</w:t>
      </w:r>
      <w:r>
        <w:rPr>
          <w:rFonts w:hint="eastAsia" w:ascii="仿宋" w:hAnsi="仿宋" w:eastAsia="仿宋"/>
          <w:color w:val="000000" w:themeColor="text1"/>
          <w:sz w:val="24"/>
          <w:szCs w:val="24"/>
          <w14:textFill>
            <w14:solidFill>
              <w14:schemeClr w14:val="tx1"/>
            </w14:solidFill>
          </w14:textFill>
        </w:rPr>
        <w:t>年</w:t>
      </w:r>
      <w:r>
        <w:rPr>
          <w:rFonts w:hint="eastAsia" w:ascii="仿宋" w:hAnsi="仿宋" w:eastAsia="仿宋"/>
          <w:color w:val="000000" w:themeColor="text1"/>
          <w:sz w:val="24"/>
          <w:szCs w:val="24"/>
          <w:lang w:val="en-US" w:eastAsia="zh-CN"/>
          <w14:textFill>
            <w14:solidFill>
              <w14:schemeClr w14:val="tx1"/>
            </w14:solidFill>
          </w14:textFill>
        </w:rPr>
        <w:t>二</w:t>
      </w:r>
      <w:r>
        <w:rPr>
          <w:rFonts w:hint="eastAsia" w:ascii="仿宋" w:hAnsi="仿宋" w:eastAsia="仿宋"/>
          <w:color w:val="000000" w:themeColor="text1"/>
          <w:sz w:val="24"/>
          <w:szCs w:val="24"/>
          <w14:textFill>
            <w14:solidFill>
              <w14:schemeClr w14:val="tx1"/>
            </w14:solidFill>
          </w14:textFill>
        </w:rPr>
        <w:t>月</w:t>
      </w:r>
      <w:r>
        <w:rPr>
          <w:rFonts w:hint="eastAsia" w:ascii="仿宋" w:hAnsi="仿宋" w:eastAsia="仿宋"/>
          <w:color w:val="000000" w:themeColor="text1"/>
          <w:sz w:val="24"/>
          <w:szCs w:val="24"/>
          <w:lang w:val="en-US" w:eastAsia="zh-CN"/>
          <w14:textFill>
            <w14:solidFill>
              <w14:schemeClr w14:val="tx1"/>
            </w14:solidFill>
          </w14:textFill>
        </w:rPr>
        <w:t>二十四</w:t>
      </w:r>
      <w:bookmarkStart w:id="0" w:name="_GoBack"/>
      <w:bookmarkEnd w:id="0"/>
      <w:r>
        <w:rPr>
          <w:rFonts w:hint="eastAsia" w:ascii="仿宋" w:hAnsi="仿宋" w:eastAsia="仿宋"/>
          <w:color w:val="000000" w:themeColor="text1"/>
          <w:sz w:val="24"/>
          <w:szCs w:val="24"/>
          <w14:textFill>
            <w14:solidFill>
              <w14:schemeClr w14:val="tx1"/>
            </w14:solidFill>
          </w14:textFill>
        </w:rPr>
        <w:t>日</w:t>
      </w:r>
    </w:p>
    <w:p>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pPr>
                            <w:snapToGrid w:val="0"/>
                            <w:rPr>
                              <w:rFonts w:ascii="仿宋" w:hAnsi="仿宋" w:eastAsia="仿宋"/>
                              <w:sz w:val="24"/>
                              <w:szCs w:val="24"/>
                            </w:rPr>
                          </w:pPr>
                          <w:r>
                            <w:rPr>
                              <w:rFonts w:hint="eastAsia" w:ascii="仿宋" w:hAnsi="仿宋" w:eastAsia="仿宋"/>
                              <w:sz w:val="24"/>
                              <w:szCs w:val="24"/>
                            </w:rPr>
                            <w:t xml:space="preserve">第 </w:t>
                          </w:r>
                          <w:r>
                            <w:rPr>
                              <w:rFonts w:hint="eastAsia" w:ascii="仿宋" w:hAnsi="仿宋" w:eastAsia="仿宋"/>
                              <w:sz w:val="24"/>
                              <w:szCs w:val="24"/>
                            </w:rPr>
                            <w:fldChar w:fldCharType="begin"/>
                          </w:r>
                          <w:r>
                            <w:rPr>
                              <w:rFonts w:hint="eastAsia" w:ascii="仿宋" w:hAnsi="仿宋" w:eastAsia="仿宋"/>
                              <w:sz w:val="24"/>
                              <w:szCs w:val="24"/>
                            </w:rPr>
                            <w:instrText xml:space="preserve"> PAGE  \* MERGEFORMAT </w:instrText>
                          </w:r>
                          <w:r>
                            <w:rPr>
                              <w:rFonts w:hint="eastAsia" w:ascii="仿宋" w:hAnsi="仿宋" w:eastAsia="仿宋"/>
                              <w:sz w:val="24"/>
                              <w:szCs w:val="24"/>
                            </w:rPr>
                            <w:fldChar w:fldCharType="separate"/>
                          </w:r>
                          <w:r>
                            <w:rPr>
                              <w:rFonts w:ascii="仿宋" w:hAnsi="仿宋" w:eastAsia="仿宋"/>
                              <w:sz w:val="24"/>
                              <w:szCs w:val="24"/>
                            </w:rPr>
                            <w:t>1</w:t>
                          </w:r>
                          <w:r>
                            <w:rPr>
                              <w:rFonts w:hint="eastAsia" w:ascii="仿宋" w:hAnsi="仿宋" w:eastAsia="仿宋"/>
                              <w:sz w:val="24"/>
                              <w:szCs w:val="24"/>
                            </w:rPr>
                            <w:fldChar w:fldCharType="end"/>
                          </w:r>
                          <w:r>
                            <w:rPr>
                              <w:rFonts w:hint="eastAsia" w:ascii="仿宋" w:hAnsi="仿宋" w:eastAsia="仿宋"/>
                              <w:sz w:val="24"/>
                              <w:szCs w:val="24"/>
                            </w:rPr>
                            <w:t xml:space="preserve"> 页 共 </w:t>
                          </w:r>
                          <w:r>
                            <w:rPr>
                              <w:rFonts w:hint="eastAsia" w:ascii="仿宋" w:hAnsi="仿宋" w:eastAsia="仿宋"/>
                              <w:sz w:val="24"/>
                              <w:szCs w:val="24"/>
                            </w:rPr>
                            <w:fldChar w:fldCharType="begin"/>
                          </w:r>
                          <w:r>
                            <w:rPr>
                              <w:rFonts w:hint="eastAsia" w:ascii="仿宋" w:hAnsi="仿宋" w:eastAsia="仿宋"/>
                              <w:sz w:val="24"/>
                              <w:szCs w:val="24"/>
                            </w:rPr>
                            <w:instrText xml:space="preserve"> NUMPAGES  \* MERGEFORMAT </w:instrText>
                          </w:r>
                          <w:r>
                            <w:rPr>
                              <w:rFonts w:hint="eastAsia" w:ascii="仿宋" w:hAnsi="仿宋" w:eastAsia="仿宋"/>
                              <w:sz w:val="24"/>
                              <w:szCs w:val="24"/>
                            </w:rPr>
                            <w:fldChar w:fldCharType="separate"/>
                          </w:r>
                          <w:r>
                            <w:rPr>
                              <w:rFonts w:ascii="仿宋" w:hAnsi="仿宋" w:eastAsia="仿宋"/>
                              <w:sz w:val="24"/>
                              <w:szCs w:val="24"/>
                            </w:rPr>
                            <w:t>1</w:t>
                          </w:r>
                          <w:r>
                            <w:rPr>
                              <w:rFonts w:hint="eastAsia" w:ascii="仿宋" w:hAnsi="仿宋" w:eastAsia="仿宋"/>
                              <w:sz w:val="24"/>
                              <w:szCs w:val="24"/>
                            </w:rPr>
                            <w:fldChar w:fldCharType="end"/>
                          </w:r>
                          <w:r>
                            <w:rPr>
                              <w:rFonts w:hint="eastAsia" w:ascii="仿宋" w:hAnsi="仿宋" w:eastAsia="仿宋"/>
                              <w:sz w:val="24"/>
                              <w:szCs w:val="24"/>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cXb2nRAAAABAEAAA8AAAAAAAAAAQAgAAAAIgAAAGRycy9k&#10;b3ducmV2LnhtbFBLAQIUABQAAAAIAIdO4kCJ1dPjCQIAAAMEAAAOAAAAAAAAAAEAIAAAACABAABk&#10;cnMvZTJvRG9jLnhtbFBLBQYAAAAABgAGAFkBAACbBQAAAAA=&#10;">
              <v:fill on="f" focussize="0,0"/>
              <v:stroke on="f"/>
              <v:imagedata o:title=""/>
              <o:lock v:ext="edit" aspectratio="f"/>
              <v:textbox inset="0mm,0mm,0mm,0mm" style="mso-fit-shape-to-text:t;">
                <w:txbxContent>
                  <w:p>
                    <w:pPr>
                      <w:snapToGrid w:val="0"/>
                      <w:rPr>
                        <w:rFonts w:ascii="仿宋" w:hAnsi="仿宋" w:eastAsia="仿宋"/>
                        <w:sz w:val="24"/>
                        <w:szCs w:val="24"/>
                      </w:rPr>
                    </w:pPr>
                    <w:r>
                      <w:rPr>
                        <w:rFonts w:hint="eastAsia" w:ascii="仿宋" w:hAnsi="仿宋" w:eastAsia="仿宋"/>
                        <w:sz w:val="24"/>
                        <w:szCs w:val="24"/>
                      </w:rPr>
                      <w:t xml:space="preserve">第 </w:t>
                    </w:r>
                    <w:r>
                      <w:rPr>
                        <w:rFonts w:hint="eastAsia" w:ascii="仿宋" w:hAnsi="仿宋" w:eastAsia="仿宋"/>
                        <w:sz w:val="24"/>
                        <w:szCs w:val="24"/>
                      </w:rPr>
                      <w:fldChar w:fldCharType="begin"/>
                    </w:r>
                    <w:r>
                      <w:rPr>
                        <w:rFonts w:hint="eastAsia" w:ascii="仿宋" w:hAnsi="仿宋" w:eastAsia="仿宋"/>
                        <w:sz w:val="24"/>
                        <w:szCs w:val="24"/>
                      </w:rPr>
                      <w:instrText xml:space="preserve"> PAGE  \* MERGEFORMAT </w:instrText>
                    </w:r>
                    <w:r>
                      <w:rPr>
                        <w:rFonts w:hint="eastAsia" w:ascii="仿宋" w:hAnsi="仿宋" w:eastAsia="仿宋"/>
                        <w:sz w:val="24"/>
                        <w:szCs w:val="24"/>
                      </w:rPr>
                      <w:fldChar w:fldCharType="separate"/>
                    </w:r>
                    <w:r>
                      <w:rPr>
                        <w:rFonts w:ascii="仿宋" w:hAnsi="仿宋" w:eastAsia="仿宋"/>
                        <w:sz w:val="24"/>
                        <w:szCs w:val="24"/>
                      </w:rPr>
                      <w:t>1</w:t>
                    </w:r>
                    <w:r>
                      <w:rPr>
                        <w:rFonts w:hint="eastAsia" w:ascii="仿宋" w:hAnsi="仿宋" w:eastAsia="仿宋"/>
                        <w:sz w:val="24"/>
                        <w:szCs w:val="24"/>
                      </w:rPr>
                      <w:fldChar w:fldCharType="end"/>
                    </w:r>
                    <w:r>
                      <w:rPr>
                        <w:rFonts w:hint="eastAsia" w:ascii="仿宋" w:hAnsi="仿宋" w:eastAsia="仿宋"/>
                        <w:sz w:val="24"/>
                        <w:szCs w:val="24"/>
                      </w:rPr>
                      <w:t xml:space="preserve"> 页 共 </w:t>
                    </w:r>
                    <w:r>
                      <w:rPr>
                        <w:rFonts w:hint="eastAsia" w:ascii="仿宋" w:hAnsi="仿宋" w:eastAsia="仿宋"/>
                        <w:sz w:val="24"/>
                        <w:szCs w:val="24"/>
                      </w:rPr>
                      <w:fldChar w:fldCharType="begin"/>
                    </w:r>
                    <w:r>
                      <w:rPr>
                        <w:rFonts w:hint="eastAsia" w:ascii="仿宋" w:hAnsi="仿宋" w:eastAsia="仿宋"/>
                        <w:sz w:val="24"/>
                        <w:szCs w:val="24"/>
                      </w:rPr>
                      <w:instrText xml:space="preserve"> NUMPAGES  \* MERGEFORMAT </w:instrText>
                    </w:r>
                    <w:r>
                      <w:rPr>
                        <w:rFonts w:hint="eastAsia" w:ascii="仿宋" w:hAnsi="仿宋" w:eastAsia="仿宋"/>
                        <w:sz w:val="24"/>
                        <w:szCs w:val="24"/>
                      </w:rPr>
                      <w:fldChar w:fldCharType="separate"/>
                    </w:r>
                    <w:r>
                      <w:rPr>
                        <w:rFonts w:ascii="仿宋" w:hAnsi="仿宋" w:eastAsia="仿宋"/>
                        <w:sz w:val="24"/>
                        <w:szCs w:val="24"/>
                      </w:rPr>
                      <w:t>1</w:t>
                    </w:r>
                    <w:r>
                      <w:rPr>
                        <w:rFonts w:hint="eastAsia" w:ascii="仿宋" w:hAnsi="仿宋" w:eastAsia="仿宋"/>
                        <w:sz w:val="24"/>
                        <w:szCs w:val="24"/>
                      </w:rPr>
                      <w:fldChar w:fldCharType="end"/>
                    </w:r>
                    <w:r>
                      <w:rPr>
                        <w:rFonts w:hint="eastAsia" w:ascii="仿宋" w:hAnsi="仿宋" w:eastAsia="仿宋"/>
                        <w:sz w:val="24"/>
                        <w:szCs w:val="24"/>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仿宋" w:hAnsi="仿宋" w:eastAsia="仿宋"/>
        <w:sz w:val="21"/>
        <w:szCs w:val="21"/>
      </w:rPr>
    </w:pPr>
    <w:r>
      <w:rPr>
        <w:rFonts w:ascii="仿宋" w:hAnsi="仿宋" w:eastAsia="仿宋"/>
        <w:sz w:val="21"/>
        <w:szCs w:val="21"/>
      </w:rPr>
      <w:t>宁波</w:t>
    </w:r>
    <w:r>
      <w:rPr>
        <w:rFonts w:hint="eastAsia" w:ascii="仿宋" w:hAnsi="仿宋" w:eastAsia="仿宋"/>
        <w:sz w:val="21"/>
        <w:szCs w:val="21"/>
        <w:lang w:val="en-US" w:eastAsia="zh-CN"/>
      </w:rPr>
      <w:t>祥瑞五环建筑装饰工程</w:t>
    </w:r>
    <w:r>
      <w:rPr>
        <w:rFonts w:ascii="仿宋" w:hAnsi="仿宋" w:eastAsia="仿宋"/>
        <w:sz w:val="21"/>
        <w:szCs w:val="21"/>
      </w:rPr>
      <w:t>有限公司</w:t>
    </w:r>
    <w:r>
      <w:rPr>
        <w:rFonts w:hint="eastAsia" w:ascii="仿宋" w:hAnsi="仿宋" w:eastAsia="仿宋"/>
        <w:sz w:val="21"/>
        <w:szCs w:val="21"/>
      </w:rPr>
      <w:t>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xYmQ5NTkyNTVhNjFlNmY5ZjQ5MzkzNTg5ODc3OTAifQ=="/>
  </w:docVars>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01EC6A10"/>
    <w:rsid w:val="2C5B6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2576</Words>
  <Characters>2644</Characters>
  <Lines>19</Lines>
  <Paragraphs>5</Paragraphs>
  <TotalTime>23</TotalTime>
  <ScaleCrop>false</ScaleCrop>
  <LinksUpToDate>false</LinksUpToDate>
  <CharactersWithSpaces>2649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2019-01-15T02:38:00Z</dcterms:created>
  <dc:creator>Microsoft Office 用户</dc:creator>
  <cp:lastModifiedBy>马继军律师13566057793</cp:lastModifiedBy>
  <dcterms:modified xsi:type="dcterms:W3CDTF">2023-02-23T03:20:57Z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B7AC2FE1C4AC47D69BC037C98B62B27E</vt:lpwstr>
  </property>
</Properties>
</file>